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Linköpings universitet</w:t>
      </w: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 xml:space="preserve">Course litteratur VT2024 </w:t>
      </w:r>
      <w:r w:rsidR="009C72CC">
        <w:rPr>
          <w:rFonts w:ascii="Aptos" w:hAnsi="Aptos"/>
          <w:color w:val="auto"/>
          <w:sz w:val="22"/>
          <w:szCs w:val="22"/>
          <w:lang w:val="en-GB"/>
        </w:rPr>
        <w:t xml:space="preserve">                                                        </w:t>
      </w:r>
      <w:bookmarkStart w:id="0" w:name="_GoBack"/>
      <w:bookmarkEnd w:id="0"/>
      <w:r w:rsidR="009C72CC">
        <w:rPr>
          <w:rFonts w:ascii="Aptos" w:hAnsi="Aptos"/>
          <w:color w:val="auto"/>
          <w:sz w:val="22"/>
          <w:szCs w:val="22"/>
          <w:lang w:val="en-GB"/>
        </w:rPr>
        <w:t>Cybersecurity Law TEAE21/747G</w:t>
      </w:r>
      <w:r>
        <w:rPr>
          <w:rFonts w:ascii="Aptos" w:hAnsi="Aptos"/>
          <w:color w:val="auto"/>
          <w:sz w:val="22"/>
          <w:szCs w:val="22"/>
          <w:lang w:val="en-GB"/>
        </w:rPr>
        <w:t>9</w:t>
      </w:r>
      <w:r w:rsidR="009C72CC">
        <w:rPr>
          <w:rFonts w:ascii="Aptos" w:hAnsi="Aptos"/>
          <w:color w:val="auto"/>
          <w:sz w:val="22"/>
          <w:szCs w:val="22"/>
          <w:lang w:val="en-GB"/>
        </w:rPr>
        <w:t>5</w:t>
      </w: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Course director: Marc Stuhldreier</w:t>
      </w: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</w:p>
    <w:p w:rsidR="009C72CC" w:rsidRDefault="009C72CC" w:rsidP="009C72CC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 xml:space="preserve">I have two book suggestions of which the students should choose 1 (but may wish to read both). Other relevant reading will be given to students during the course. </w:t>
      </w:r>
    </w:p>
    <w:p w:rsidR="009C72CC" w:rsidRDefault="009C72CC" w:rsidP="009C72CC">
      <w:pPr>
        <w:rPr>
          <w:rFonts w:ascii="Aptos" w:hAnsi="Aptos"/>
          <w:color w:val="auto"/>
          <w:sz w:val="22"/>
          <w:szCs w:val="22"/>
          <w:lang w:val="en-GB"/>
        </w:rPr>
      </w:pPr>
    </w:p>
    <w:p w:rsidR="009C72CC" w:rsidRDefault="009C72CC" w:rsidP="009C72CC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The main suggestion is:</w:t>
      </w:r>
    </w:p>
    <w:p w:rsidR="009C72CC" w:rsidRDefault="009C72CC" w:rsidP="009C72CC">
      <w:pPr>
        <w:numPr>
          <w:ilvl w:val="0"/>
          <w:numId w:val="2"/>
        </w:numPr>
        <w:rPr>
          <w:rFonts w:ascii="Aptos" w:eastAsia="Times New Roman" w:hAnsi="Aptos"/>
          <w:color w:val="auto"/>
          <w:sz w:val="22"/>
          <w:szCs w:val="22"/>
          <w:lang w:val="en-GB"/>
        </w:rPr>
      </w:pPr>
      <w:r>
        <w:rPr>
          <w:rFonts w:ascii="Aptos" w:eastAsia="Times New Roman" w:hAnsi="Aptos"/>
          <w:color w:val="auto"/>
          <w:sz w:val="22"/>
          <w:szCs w:val="22"/>
          <w:lang w:val="en-GB"/>
        </w:rPr>
        <w:t>Andrew Murray, Information Technology Law - The Law and Society (Fifth Edition, OUP 2023) ISBN 9780192893529</w:t>
      </w:r>
    </w:p>
    <w:p w:rsidR="009C72CC" w:rsidRDefault="009C72CC" w:rsidP="009C72CC">
      <w:pPr>
        <w:rPr>
          <w:rFonts w:ascii="Aptos" w:hAnsi="Aptos"/>
          <w:color w:val="auto"/>
          <w:sz w:val="22"/>
          <w:szCs w:val="22"/>
          <w:lang w:val="en-GB"/>
        </w:rPr>
      </w:pPr>
    </w:p>
    <w:p w:rsidR="009C72CC" w:rsidRDefault="009C72CC" w:rsidP="009C72CC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For non-law students, there is a dedicated book introducing IT law to Computer scientists, with similar topic coverage:</w:t>
      </w:r>
    </w:p>
    <w:p w:rsidR="009C72CC" w:rsidRDefault="009C72CC" w:rsidP="009C72CC">
      <w:pPr>
        <w:numPr>
          <w:ilvl w:val="0"/>
          <w:numId w:val="2"/>
        </w:numPr>
        <w:rPr>
          <w:rFonts w:ascii="Aptos" w:eastAsia="Times New Roman" w:hAnsi="Aptos"/>
          <w:color w:val="auto"/>
          <w:sz w:val="22"/>
          <w:szCs w:val="22"/>
          <w:lang w:val="en-GB"/>
        </w:rPr>
      </w:pPr>
      <w:r>
        <w:rPr>
          <w:rFonts w:ascii="Aptos" w:eastAsia="Times New Roman" w:hAnsi="Aptos"/>
          <w:color w:val="auto"/>
          <w:sz w:val="22"/>
          <w:szCs w:val="22"/>
          <w:lang w:val="en-GB"/>
        </w:rPr>
        <w:t>Mireille Hildebrandt, Law for Computer Scientists and Other Folk (OUP 2020) ISBN</w:t>
      </w:r>
      <w:r>
        <w:rPr>
          <w:rFonts w:eastAsia="Times New Roman"/>
          <w:lang w:val="en-GB"/>
        </w:rPr>
        <w:t xml:space="preserve"> </w:t>
      </w:r>
      <w:r>
        <w:rPr>
          <w:rFonts w:ascii="Aptos" w:eastAsia="Times New Roman" w:hAnsi="Aptos"/>
          <w:color w:val="auto"/>
          <w:sz w:val="22"/>
          <w:szCs w:val="22"/>
          <w:lang w:val="en-GB"/>
        </w:rPr>
        <w:t>9780198860884</w:t>
      </w:r>
    </w:p>
    <w:p w:rsidR="002F4558" w:rsidRPr="001A4313" w:rsidRDefault="002F4558" w:rsidP="009C72CC">
      <w:pPr>
        <w:rPr>
          <w:lang w:val="en-GB"/>
        </w:rPr>
      </w:pPr>
    </w:p>
    <w:sectPr w:rsidR="002F4558" w:rsidRPr="001A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13" w:rsidRDefault="001A4313" w:rsidP="001A4313">
      <w:r>
        <w:separator/>
      </w:r>
    </w:p>
  </w:endnote>
  <w:endnote w:type="continuationSeparator" w:id="0">
    <w:p w:rsidR="001A4313" w:rsidRDefault="001A4313" w:rsidP="001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13" w:rsidRDefault="001A4313" w:rsidP="001A4313">
      <w:r>
        <w:separator/>
      </w:r>
    </w:p>
  </w:footnote>
  <w:footnote w:type="continuationSeparator" w:id="0">
    <w:p w:rsidR="001A4313" w:rsidRDefault="001A4313" w:rsidP="001A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04A2"/>
    <w:multiLevelType w:val="hybridMultilevel"/>
    <w:tmpl w:val="2A2EAB9A"/>
    <w:lvl w:ilvl="0" w:tplc="18A0318C">
      <w:numFmt w:val="bullet"/>
      <w:lvlText w:val="-"/>
      <w:lvlJc w:val="left"/>
      <w:pPr>
        <w:ind w:left="720" w:hanging="360"/>
      </w:pPr>
      <w:rPr>
        <w:rFonts w:ascii="Aptos" w:eastAsia="Aptos" w:hAnsi="Apto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2765"/>
    <w:multiLevelType w:val="hybridMultilevel"/>
    <w:tmpl w:val="945C0AA4"/>
    <w:lvl w:ilvl="0" w:tplc="F73A0582">
      <w:numFmt w:val="bullet"/>
      <w:lvlText w:val="-"/>
      <w:lvlJc w:val="left"/>
      <w:pPr>
        <w:ind w:left="720" w:hanging="360"/>
      </w:pPr>
      <w:rPr>
        <w:rFonts w:ascii="Aptos" w:eastAsia="Aptos" w:hAnsi="Apto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3"/>
    <w:rsid w:val="001A4313"/>
    <w:rsid w:val="002F4558"/>
    <w:rsid w:val="009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62E2"/>
  <w15:chartTrackingRefBased/>
  <w15:docId w15:val="{75E78449-BB4D-4581-937C-8C723DC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13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72C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2CC"/>
    <w:rPr>
      <w:rFonts w:ascii="Segoe UI" w:hAnsi="Segoe UI" w:cs="Segoe UI"/>
      <w:color w:val="00357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1D065F5452B44994F6D931CB900B4" ma:contentTypeVersion="2" ma:contentTypeDescription="Skapa ett nytt dokument." ma:contentTypeScope="" ma:versionID="81477b1313c26e35cebdfe8d961702e5">
  <xsd:schema xmlns:xsd="http://www.w3.org/2001/XMLSchema" xmlns:xs="http://www.w3.org/2001/XMLSchema" xmlns:p="http://schemas.microsoft.com/office/2006/metadata/properties" xmlns:ns2="bc639981-457a-4814-ba5f-89208febf988" xmlns:ns3="16403549-f6cb-4193-b2ea-f592985cc584" targetNamespace="http://schemas.microsoft.com/office/2006/metadata/properties" ma:root="true" ma:fieldsID="1933ab8caae8ff93bddfb5bea635a7c3" ns2:_="" ns3:_="">
    <xsd:import namespace="bc639981-457a-4814-ba5f-89208febf988"/>
    <xsd:import namespace="16403549-f6cb-4193-b2ea-f592985cc58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39981-457a-4814-ba5f-89208febf98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3549-f6cb-4193-b2ea-f592985cc58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c639981-457a-4814-ba5f-89208febf988" xsi:nil="true"/>
    <_lisam_PublishedVersion xmlns="16403549-f6cb-4193-b2ea-f592985cc584" xsi:nil="true"/>
  </documentManagement>
</p:properties>
</file>

<file path=customXml/itemProps1.xml><?xml version="1.0" encoding="utf-8"?>
<ds:datastoreItem xmlns:ds="http://schemas.openxmlformats.org/officeDocument/2006/customXml" ds:itemID="{C583EC6D-5F9A-44DA-A21B-D5246BF7C734}"/>
</file>

<file path=customXml/itemProps2.xml><?xml version="1.0" encoding="utf-8"?>
<ds:datastoreItem xmlns:ds="http://schemas.openxmlformats.org/officeDocument/2006/customXml" ds:itemID="{F6929D7A-354C-47C6-AD28-991F32F06D7D}"/>
</file>

<file path=customXml/itemProps3.xml><?xml version="1.0" encoding="utf-8"?>
<ds:datastoreItem xmlns:ds="http://schemas.openxmlformats.org/officeDocument/2006/customXml" ds:itemID="{3C87DF57-76FC-4A7D-A2A2-F3543ED89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2</cp:revision>
  <cp:lastPrinted>2024-01-04T07:52:00Z</cp:lastPrinted>
  <dcterms:created xsi:type="dcterms:W3CDTF">2024-01-04T07:54:00Z</dcterms:created>
  <dcterms:modified xsi:type="dcterms:W3CDTF">2024-01-04T07:54:00Z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0x010100BA31D065F5452B44994F6D931CB900B4</vt:lpwstr>
  </property>
</Properties>
</file>